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33" w:rsidRDefault="00AB4833" w:rsidP="00E56FCE">
      <w:pPr>
        <w:spacing w:line="240" w:lineRule="auto"/>
        <w:rPr>
          <w:rFonts w:ascii="Times New Roman" w:hAnsi="Times New Roman" w:cs="Times New Roman"/>
          <w:b/>
          <w:sz w:val="24"/>
          <w:szCs w:val="24"/>
        </w:rPr>
      </w:pPr>
      <w:r w:rsidRPr="00E275CD">
        <w:rPr>
          <w:rFonts w:ascii="Times New Roman" w:hAnsi="Times New Roman" w:cs="Times New Roman"/>
          <w:b/>
          <w:sz w:val="24"/>
          <w:szCs w:val="24"/>
        </w:rPr>
        <w:t xml:space="preserve">Quantitative Reasoning: Mathematical or Logical Analysis </w:t>
      </w:r>
    </w:p>
    <w:p w:rsidR="00EE1047" w:rsidRDefault="00EE1047" w:rsidP="00E56FCE">
      <w:pPr>
        <w:spacing w:after="0" w:line="240" w:lineRule="auto"/>
        <w:rPr>
          <w:rFonts w:ascii="Times New Roman" w:hAnsi="Times New Roman" w:cs="Times New Roman"/>
          <w:b/>
        </w:rPr>
      </w:pPr>
      <w:r>
        <w:rPr>
          <w:rFonts w:ascii="Times New Roman" w:hAnsi="Times New Roman" w:cs="Times New Roman"/>
          <w:b/>
        </w:rPr>
        <w:t>Goals:</w:t>
      </w:r>
    </w:p>
    <w:p w:rsidR="00EE1047" w:rsidRDefault="00EE1047" w:rsidP="00E56FCE">
      <w:pPr>
        <w:spacing w:after="0" w:line="240" w:lineRule="auto"/>
        <w:rPr>
          <w:rFonts w:ascii="Times New Roman" w:hAnsi="Times New Roman" w:cs="Times New Roman"/>
        </w:rPr>
      </w:pPr>
      <w:r w:rsidRPr="00EE1047">
        <w:rPr>
          <w:rFonts w:ascii="Times New Roman" w:hAnsi="Times New Roman" w:cs="Times New Roman"/>
        </w:rPr>
        <w:t xml:space="preserve">Students develop skills in quantitative literary and logical reasoning, including the ability to identify valid arguments, and use mathematical models. </w:t>
      </w:r>
    </w:p>
    <w:p w:rsidR="004B7CAC" w:rsidRDefault="004B7CAC" w:rsidP="00E56FCE">
      <w:pPr>
        <w:spacing w:after="0" w:line="240" w:lineRule="auto"/>
        <w:rPr>
          <w:rFonts w:ascii="Times New Roman" w:hAnsi="Times New Roman" w:cs="Times New Roman"/>
        </w:rPr>
      </w:pPr>
    </w:p>
    <w:p w:rsidR="00EE1047" w:rsidRDefault="00EE1047" w:rsidP="00E56FCE">
      <w:pPr>
        <w:spacing w:after="0" w:line="240" w:lineRule="auto"/>
        <w:rPr>
          <w:rFonts w:ascii="Times New Roman" w:hAnsi="Times New Roman" w:cs="Times New Roman"/>
          <w:b/>
        </w:rPr>
      </w:pPr>
      <w:r>
        <w:rPr>
          <w:rFonts w:ascii="Times New Roman" w:hAnsi="Times New Roman" w:cs="Times New Roman"/>
          <w:b/>
        </w:rPr>
        <w:t>Expected Learning Outcomes:</w:t>
      </w:r>
    </w:p>
    <w:p w:rsidR="00EE1047" w:rsidRDefault="00EE1047" w:rsidP="00D6648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Students comprehend mathematical concepts and methods adequate to construct valid arguments</w:t>
      </w:r>
      <w:r w:rsidR="00D66488">
        <w:rPr>
          <w:rFonts w:ascii="Times New Roman" w:hAnsi="Times New Roman" w:cs="Times New Roman"/>
        </w:rPr>
        <w:t>.</w:t>
      </w:r>
      <w:r>
        <w:rPr>
          <w:rFonts w:ascii="Times New Roman" w:hAnsi="Times New Roman" w:cs="Times New Roman"/>
        </w:rPr>
        <w:t xml:space="preserve"> </w:t>
      </w:r>
    </w:p>
    <w:p w:rsidR="00D66488" w:rsidRDefault="00D66488" w:rsidP="00E56FCE">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Students comprehend mathematical concepts and methods adequate to understand inductive and deductive reasoning.</w:t>
      </w:r>
    </w:p>
    <w:p w:rsidR="00D66488" w:rsidRDefault="00D66488" w:rsidP="00E56FCE">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Students comprehend mathematical concepts and methods adequate to increase their general problem solving skills. </w:t>
      </w:r>
    </w:p>
    <w:p w:rsidR="004B7CAC" w:rsidRPr="00EE1047" w:rsidRDefault="004B7CAC" w:rsidP="00E56FCE">
      <w:pPr>
        <w:pStyle w:val="ListParagraph"/>
        <w:spacing w:after="0" w:line="240" w:lineRule="auto"/>
        <w:rPr>
          <w:rFonts w:ascii="Times New Roman" w:hAnsi="Times New Roman" w:cs="Times New Roman"/>
        </w:rPr>
      </w:pPr>
    </w:p>
    <w:p w:rsidR="00AB4833" w:rsidRPr="004B7CAC" w:rsidRDefault="00AB4833" w:rsidP="00E56FCE">
      <w:pPr>
        <w:spacing w:after="0" w:line="240" w:lineRule="auto"/>
        <w:rPr>
          <w:rFonts w:ascii="Times New Roman" w:hAnsi="Times New Roman" w:cs="Times New Roman"/>
          <w:b/>
          <w:i/>
        </w:rPr>
      </w:pPr>
      <w:r w:rsidRPr="004B7CAC">
        <w:rPr>
          <w:rFonts w:ascii="Times New Roman" w:hAnsi="Times New Roman" w:cs="Times New Roman"/>
          <w:b/>
          <w:i/>
        </w:rPr>
        <w:t xml:space="preserve">Scoring Rubric: </w:t>
      </w:r>
    </w:p>
    <w:p w:rsidR="00AB4833" w:rsidRPr="00E275CD" w:rsidRDefault="00AB4833" w:rsidP="00E56FCE">
      <w:pPr>
        <w:pStyle w:val="Default"/>
        <w:pBdr>
          <w:top w:val="single" w:sz="4" w:space="4" w:color="auto"/>
          <w:left w:val="single" w:sz="4" w:space="4" w:color="auto"/>
          <w:bottom w:val="single" w:sz="4" w:space="1" w:color="auto"/>
          <w:right w:val="single" w:sz="4" w:space="4" w:color="auto"/>
        </w:pBdr>
        <w:rPr>
          <w:bCs/>
          <w:sz w:val="22"/>
          <w:szCs w:val="22"/>
        </w:rPr>
      </w:pPr>
      <w:r w:rsidRPr="00E275CD">
        <w:rPr>
          <w:bCs/>
          <w:sz w:val="22"/>
          <w:szCs w:val="22"/>
        </w:rPr>
        <w:t xml:space="preserve">Assessment of GE Quantitative Reasoning: </w:t>
      </w:r>
      <w:r w:rsidR="00406517" w:rsidRPr="00E275CD">
        <w:rPr>
          <w:bCs/>
          <w:sz w:val="22"/>
          <w:szCs w:val="22"/>
        </w:rPr>
        <w:t>Mathematical or Logical Analysis</w:t>
      </w:r>
      <w:r w:rsidRPr="00E275CD">
        <w:rPr>
          <w:bCs/>
          <w:sz w:val="22"/>
          <w:szCs w:val="22"/>
        </w:rPr>
        <w:t xml:space="preserve"> </w:t>
      </w:r>
      <w:r w:rsidR="004B7CAC">
        <w:rPr>
          <w:bCs/>
          <w:sz w:val="22"/>
          <w:szCs w:val="22"/>
        </w:rPr>
        <w:t>Courses</w:t>
      </w:r>
    </w:p>
    <w:p w:rsidR="00AB4833" w:rsidRPr="00E275CD" w:rsidRDefault="00AB4833" w:rsidP="00E56FCE">
      <w:pPr>
        <w:pStyle w:val="Default"/>
        <w:pBdr>
          <w:top w:val="single" w:sz="4" w:space="4" w:color="auto"/>
          <w:left w:val="single" w:sz="4" w:space="4" w:color="auto"/>
          <w:bottom w:val="single" w:sz="4" w:space="1" w:color="auto"/>
          <w:right w:val="single" w:sz="4" w:space="4" w:color="auto"/>
        </w:pBdr>
        <w:rPr>
          <w:bCs/>
          <w:sz w:val="22"/>
          <w:szCs w:val="22"/>
        </w:rPr>
      </w:pPr>
    </w:p>
    <w:p w:rsidR="00195459" w:rsidRDefault="00AB4833" w:rsidP="00E56FCE">
      <w:pPr>
        <w:pStyle w:val="Default"/>
        <w:pBdr>
          <w:top w:val="single" w:sz="4" w:space="4" w:color="auto"/>
          <w:left w:val="single" w:sz="4" w:space="4" w:color="auto"/>
          <w:bottom w:val="single" w:sz="4" w:space="1" w:color="auto"/>
          <w:right w:val="single" w:sz="4" w:space="4" w:color="auto"/>
        </w:pBdr>
        <w:rPr>
          <w:bCs/>
          <w:sz w:val="22"/>
          <w:szCs w:val="22"/>
        </w:rPr>
      </w:pPr>
      <w:r w:rsidRPr="00E275CD">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195459" w:rsidRPr="00195459" w:rsidRDefault="00195459" w:rsidP="00E56FCE">
      <w:pPr>
        <w:spacing w:line="240" w:lineRule="auto"/>
      </w:pPr>
    </w:p>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1813"/>
        <w:gridCol w:w="1887"/>
        <w:gridCol w:w="1845"/>
        <w:gridCol w:w="1864"/>
      </w:tblGrid>
      <w:tr w:rsidR="00AB4833" w:rsidRPr="00E275CD" w:rsidTr="005673A3">
        <w:tc>
          <w:tcPr>
            <w:tcW w:w="2167" w:type="dxa"/>
          </w:tcPr>
          <w:p w:rsidR="00AB4833" w:rsidRPr="00E275CD" w:rsidRDefault="00AB4833" w:rsidP="00E56FCE">
            <w:pPr>
              <w:rPr>
                <w:rFonts w:ascii="Times New Roman" w:hAnsi="Times New Roman" w:cs="Times New Roman"/>
              </w:rPr>
            </w:pPr>
          </w:p>
        </w:tc>
        <w:tc>
          <w:tcPr>
            <w:tcW w:w="1813" w:type="dxa"/>
          </w:tcPr>
          <w:p w:rsidR="00AB4833" w:rsidRPr="00E275CD" w:rsidRDefault="00AB4833" w:rsidP="00E56FCE">
            <w:pPr>
              <w:rPr>
                <w:rFonts w:ascii="Times New Roman" w:hAnsi="Times New Roman" w:cs="Times New Roman"/>
              </w:rPr>
            </w:pPr>
            <w:r w:rsidRPr="00E275CD">
              <w:rPr>
                <w:rFonts w:ascii="Times New Roman" w:hAnsi="Times New Roman" w:cs="Times New Roman"/>
              </w:rPr>
              <w:t>Capstone</w:t>
            </w:r>
          </w:p>
          <w:p w:rsidR="00AB4833" w:rsidRPr="00E275CD" w:rsidRDefault="00AB4833" w:rsidP="00E56FCE">
            <w:pPr>
              <w:rPr>
                <w:rFonts w:ascii="Times New Roman" w:hAnsi="Times New Roman" w:cs="Times New Roman"/>
              </w:rPr>
            </w:pPr>
            <w:r w:rsidRPr="00E275CD">
              <w:rPr>
                <w:rFonts w:ascii="Times New Roman" w:hAnsi="Times New Roman" w:cs="Times New Roman"/>
              </w:rPr>
              <w:t>(4)</w:t>
            </w:r>
          </w:p>
        </w:tc>
        <w:tc>
          <w:tcPr>
            <w:tcW w:w="1887" w:type="dxa"/>
          </w:tcPr>
          <w:p w:rsidR="00AB4833" w:rsidRPr="00E275CD" w:rsidRDefault="00AB4833" w:rsidP="00E56FCE">
            <w:pPr>
              <w:rPr>
                <w:rFonts w:ascii="Times New Roman" w:hAnsi="Times New Roman" w:cs="Times New Roman"/>
              </w:rPr>
            </w:pPr>
            <w:r w:rsidRPr="00E275CD">
              <w:rPr>
                <w:rFonts w:ascii="Times New Roman" w:hAnsi="Times New Roman" w:cs="Times New Roman"/>
              </w:rPr>
              <w:t xml:space="preserve">Milestone </w:t>
            </w:r>
          </w:p>
          <w:p w:rsidR="00AB4833" w:rsidRPr="00E275CD" w:rsidRDefault="00AB4833" w:rsidP="00E56FCE">
            <w:pPr>
              <w:rPr>
                <w:rFonts w:ascii="Times New Roman" w:hAnsi="Times New Roman" w:cs="Times New Roman"/>
              </w:rPr>
            </w:pPr>
            <w:r w:rsidRPr="00E275CD">
              <w:rPr>
                <w:rFonts w:ascii="Times New Roman" w:hAnsi="Times New Roman" w:cs="Times New Roman"/>
              </w:rPr>
              <w:t>(3)</w:t>
            </w:r>
          </w:p>
        </w:tc>
        <w:tc>
          <w:tcPr>
            <w:tcW w:w="1845" w:type="dxa"/>
          </w:tcPr>
          <w:p w:rsidR="00AB4833" w:rsidRPr="00E275CD" w:rsidRDefault="00AB4833" w:rsidP="00E56FCE">
            <w:pPr>
              <w:rPr>
                <w:rFonts w:ascii="Times New Roman" w:hAnsi="Times New Roman" w:cs="Times New Roman"/>
              </w:rPr>
            </w:pPr>
            <w:r w:rsidRPr="00E275CD">
              <w:rPr>
                <w:rFonts w:ascii="Times New Roman" w:hAnsi="Times New Roman" w:cs="Times New Roman"/>
              </w:rPr>
              <w:t>Milestone</w:t>
            </w:r>
          </w:p>
          <w:p w:rsidR="00AB4833" w:rsidRPr="00E275CD" w:rsidRDefault="00AB4833" w:rsidP="00E56FCE">
            <w:pPr>
              <w:rPr>
                <w:rFonts w:ascii="Times New Roman" w:hAnsi="Times New Roman" w:cs="Times New Roman"/>
              </w:rPr>
            </w:pPr>
            <w:r w:rsidRPr="00E275CD">
              <w:rPr>
                <w:rFonts w:ascii="Times New Roman" w:hAnsi="Times New Roman" w:cs="Times New Roman"/>
              </w:rPr>
              <w:t>(2)</w:t>
            </w:r>
          </w:p>
        </w:tc>
        <w:tc>
          <w:tcPr>
            <w:tcW w:w="1864" w:type="dxa"/>
          </w:tcPr>
          <w:p w:rsidR="00AB4833" w:rsidRPr="00E275CD" w:rsidRDefault="00AB4833" w:rsidP="00E56FCE">
            <w:pPr>
              <w:rPr>
                <w:rFonts w:ascii="Times New Roman" w:hAnsi="Times New Roman" w:cs="Times New Roman"/>
              </w:rPr>
            </w:pPr>
            <w:r w:rsidRPr="00E275CD">
              <w:rPr>
                <w:rFonts w:ascii="Times New Roman" w:hAnsi="Times New Roman" w:cs="Times New Roman"/>
              </w:rPr>
              <w:t xml:space="preserve">Benchmark </w:t>
            </w:r>
          </w:p>
          <w:p w:rsidR="00AB4833" w:rsidRPr="00E275CD" w:rsidRDefault="00AB4833" w:rsidP="00E56FCE">
            <w:pPr>
              <w:rPr>
                <w:rFonts w:ascii="Times New Roman" w:hAnsi="Times New Roman" w:cs="Times New Roman"/>
              </w:rPr>
            </w:pPr>
            <w:r w:rsidRPr="00E275CD">
              <w:rPr>
                <w:rFonts w:ascii="Times New Roman" w:hAnsi="Times New Roman" w:cs="Times New Roman"/>
              </w:rPr>
              <w:t>(1)</w:t>
            </w:r>
          </w:p>
        </w:tc>
      </w:tr>
      <w:tr w:rsidR="00AB4833" w:rsidRPr="00E275CD" w:rsidTr="005673A3">
        <w:tc>
          <w:tcPr>
            <w:tcW w:w="2167" w:type="dxa"/>
          </w:tcPr>
          <w:p w:rsidR="00AB4833" w:rsidRPr="00E275CD" w:rsidRDefault="00AB4833" w:rsidP="00E56FCE">
            <w:pPr>
              <w:shd w:val="clear" w:color="auto" w:fill="FFFFFF"/>
              <w:ind w:right="360"/>
              <w:textAlignment w:val="baseline"/>
              <w:rPr>
                <w:rFonts w:ascii="Times New Roman" w:hAnsi="Times New Roman" w:cs="Times New Roman"/>
                <w:b/>
              </w:rPr>
            </w:pPr>
            <w:r w:rsidRPr="00E275CD">
              <w:rPr>
                <w:rFonts w:ascii="Times New Roman" w:hAnsi="Times New Roman" w:cs="Times New Roman"/>
                <w:b/>
              </w:rPr>
              <w:t xml:space="preserve">(ELO 1) </w:t>
            </w:r>
          </w:p>
          <w:p w:rsidR="00AB4833" w:rsidRPr="00E275CD" w:rsidRDefault="00AB4833" w:rsidP="00D66488">
            <w:pPr>
              <w:shd w:val="clear" w:color="auto" w:fill="FFFFFF"/>
              <w:ind w:right="360"/>
              <w:textAlignment w:val="baseline"/>
              <w:rPr>
                <w:rFonts w:ascii="Times New Roman" w:hAnsi="Times New Roman" w:cs="Times New Roman"/>
              </w:rPr>
            </w:pPr>
            <w:r w:rsidRPr="00E275CD">
              <w:rPr>
                <w:rFonts w:ascii="Times New Roman" w:hAnsi="Times New Roman" w:cs="Times New Roman"/>
                <w:b/>
              </w:rPr>
              <w:t>Students comprehend mathematical concepts and methods adequate to construct valid arguments</w:t>
            </w:r>
            <w:r w:rsidR="00D66488">
              <w:rPr>
                <w:rFonts w:ascii="Times New Roman" w:hAnsi="Times New Roman" w:cs="Times New Roman"/>
                <w:b/>
              </w:rPr>
              <w:t>.</w:t>
            </w:r>
            <w:r w:rsidRPr="00E275CD">
              <w:rPr>
                <w:rFonts w:ascii="Times New Roman" w:hAnsi="Times New Roman" w:cs="Times New Roman"/>
                <w:b/>
              </w:rPr>
              <w:t xml:space="preserve"> </w:t>
            </w:r>
          </w:p>
        </w:tc>
        <w:tc>
          <w:tcPr>
            <w:tcW w:w="1813" w:type="dxa"/>
          </w:tcPr>
          <w:p w:rsidR="00AB4833" w:rsidRPr="00D436C9" w:rsidRDefault="00DB4277" w:rsidP="00D66488">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shows superior comprehension of mathematical concepts and methods and is able to construct valid arguments. </w:t>
            </w:r>
          </w:p>
        </w:tc>
        <w:tc>
          <w:tcPr>
            <w:tcW w:w="1887" w:type="dxa"/>
          </w:tcPr>
          <w:p w:rsidR="00AB4833" w:rsidRPr="00E275CD" w:rsidRDefault="00DB4277" w:rsidP="00D66488">
            <w:pPr>
              <w:rPr>
                <w:rFonts w:ascii="Times New Roman" w:hAnsi="Times New Roman" w:cs="Times New Roman"/>
              </w:rPr>
            </w:pPr>
            <w:r>
              <w:rPr>
                <w:rFonts w:ascii="Times New Roman" w:eastAsia="MS Mincho" w:hAnsi="Times New Roman" w:cs="Times New Roman"/>
                <w:iCs/>
                <w:color w:val="000000"/>
              </w:rPr>
              <w:t xml:space="preserve">Student demonstrates ability to use mathematical concepts and methods to construct a valid argument. </w:t>
            </w:r>
          </w:p>
        </w:tc>
        <w:tc>
          <w:tcPr>
            <w:tcW w:w="1845" w:type="dxa"/>
          </w:tcPr>
          <w:p w:rsidR="00AB4833" w:rsidRPr="00E275CD" w:rsidRDefault="00DB4277" w:rsidP="00D66488">
            <w:pPr>
              <w:rPr>
                <w:rFonts w:ascii="Times New Roman" w:hAnsi="Times New Roman" w:cs="Times New Roman"/>
              </w:rPr>
            </w:pPr>
            <w:r>
              <w:rPr>
                <w:rFonts w:ascii="Times New Roman" w:eastAsia="MS Mincho" w:hAnsi="Times New Roman" w:cs="Times New Roman"/>
                <w:iCs/>
                <w:color w:val="000000"/>
              </w:rPr>
              <w:t xml:space="preserve">Student comprehends mathematical concepts and is able to construct valid argument. </w:t>
            </w:r>
          </w:p>
        </w:tc>
        <w:tc>
          <w:tcPr>
            <w:tcW w:w="1864" w:type="dxa"/>
          </w:tcPr>
          <w:p w:rsidR="00AB4833" w:rsidRPr="00E275CD" w:rsidRDefault="00DB4277" w:rsidP="00D66488">
            <w:pPr>
              <w:rPr>
                <w:rFonts w:ascii="Times New Roman" w:eastAsia="MS Mincho" w:hAnsi="Times New Roman" w:cs="Times New Roman"/>
                <w:iCs/>
                <w:color w:val="000000"/>
              </w:rPr>
            </w:pPr>
            <w:r>
              <w:rPr>
                <w:rFonts w:ascii="Times New Roman" w:eastAsia="MS Mincho" w:hAnsi="Times New Roman" w:cs="Times New Roman"/>
                <w:iCs/>
                <w:color w:val="000000"/>
              </w:rPr>
              <w:t>Student comprehends mathematical concepts and methods at a basic level but is unable to construct valid arguments.</w:t>
            </w:r>
            <w:r w:rsidR="00AB4833" w:rsidRPr="00E275CD">
              <w:rPr>
                <w:rFonts w:ascii="Times New Roman" w:eastAsia="MS Mincho" w:hAnsi="Times New Roman" w:cs="Times New Roman"/>
                <w:iCs/>
                <w:color w:val="000000"/>
              </w:rPr>
              <w:t xml:space="preserve">  </w:t>
            </w:r>
          </w:p>
          <w:p w:rsidR="00AB4833" w:rsidRPr="00E275CD" w:rsidRDefault="00AB4833" w:rsidP="00E56FCE">
            <w:pPr>
              <w:rPr>
                <w:rFonts w:ascii="Times New Roman" w:hAnsi="Times New Roman" w:cs="Times New Roman"/>
              </w:rPr>
            </w:pPr>
          </w:p>
        </w:tc>
      </w:tr>
      <w:tr w:rsidR="00D66488" w:rsidRPr="00E275CD" w:rsidTr="005673A3">
        <w:tc>
          <w:tcPr>
            <w:tcW w:w="2167" w:type="dxa"/>
          </w:tcPr>
          <w:p w:rsidR="00D66488" w:rsidRDefault="00D66488" w:rsidP="00E56FCE">
            <w:pPr>
              <w:shd w:val="clear" w:color="auto" w:fill="FFFFFF"/>
              <w:ind w:right="360"/>
              <w:textAlignment w:val="baseline"/>
              <w:rPr>
                <w:rFonts w:ascii="Times New Roman" w:hAnsi="Times New Roman" w:cs="Times New Roman"/>
                <w:b/>
              </w:rPr>
            </w:pPr>
            <w:r>
              <w:rPr>
                <w:rFonts w:ascii="Times New Roman" w:hAnsi="Times New Roman" w:cs="Times New Roman"/>
                <w:b/>
              </w:rPr>
              <w:t>(ELO 2)</w:t>
            </w:r>
          </w:p>
          <w:p w:rsidR="00D66488" w:rsidRPr="00D66488" w:rsidRDefault="00D66488" w:rsidP="00D66488">
            <w:pPr>
              <w:rPr>
                <w:rFonts w:asciiTheme="majorBidi" w:hAnsiTheme="majorBidi" w:cstheme="majorBidi"/>
                <w:b/>
                <w:bCs/>
              </w:rPr>
            </w:pPr>
            <w:r w:rsidRPr="00D66488">
              <w:rPr>
                <w:rFonts w:asciiTheme="majorBidi" w:hAnsiTheme="majorBidi" w:cstheme="majorBidi"/>
                <w:b/>
                <w:bCs/>
              </w:rPr>
              <w:t>Students comprehend mathematical concepts and methods adequate to understand inductive and deductive reasoning.</w:t>
            </w:r>
          </w:p>
          <w:p w:rsidR="00D66488" w:rsidRPr="00E275CD" w:rsidRDefault="00D66488" w:rsidP="00E56FCE">
            <w:pPr>
              <w:shd w:val="clear" w:color="auto" w:fill="FFFFFF"/>
              <w:ind w:right="360"/>
              <w:textAlignment w:val="baseline"/>
              <w:rPr>
                <w:rFonts w:ascii="Times New Roman" w:hAnsi="Times New Roman" w:cs="Times New Roman"/>
                <w:b/>
              </w:rPr>
            </w:pPr>
          </w:p>
        </w:tc>
        <w:tc>
          <w:tcPr>
            <w:tcW w:w="1813" w:type="dxa"/>
          </w:tcPr>
          <w:p w:rsidR="00D66488" w:rsidRDefault="00D66488" w:rsidP="00E56FCE">
            <w:pPr>
              <w:rPr>
                <w:rFonts w:ascii="Times New Roman" w:eastAsia="MS Mincho" w:hAnsi="Times New Roman" w:cs="Times New Roman"/>
                <w:iCs/>
                <w:color w:val="000000"/>
              </w:rPr>
            </w:pPr>
            <w:r>
              <w:rPr>
                <w:rFonts w:ascii="Times New Roman" w:eastAsia="MS Mincho" w:hAnsi="Times New Roman" w:cs="Times New Roman"/>
                <w:iCs/>
                <w:color w:val="000000"/>
              </w:rPr>
              <w:lastRenderedPageBreak/>
              <w:t xml:space="preserve">Student demonstrates superior understanding of inductive and deductive reasoning. </w:t>
            </w:r>
          </w:p>
        </w:tc>
        <w:tc>
          <w:tcPr>
            <w:tcW w:w="1887" w:type="dxa"/>
          </w:tcPr>
          <w:p w:rsidR="00D66488" w:rsidRDefault="00D66488" w:rsidP="00E56FCE">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understands inductive and deductive reasoning. </w:t>
            </w:r>
          </w:p>
        </w:tc>
        <w:tc>
          <w:tcPr>
            <w:tcW w:w="1845" w:type="dxa"/>
          </w:tcPr>
          <w:p w:rsidR="00D66488" w:rsidRDefault="00D66488" w:rsidP="00E56FCE">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Student’s understanding of inductive and deductive reasoning in limited. </w:t>
            </w:r>
          </w:p>
        </w:tc>
        <w:tc>
          <w:tcPr>
            <w:tcW w:w="1864" w:type="dxa"/>
          </w:tcPr>
          <w:p w:rsidR="00D66488" w:rsidRPr="00E275CD" w:rsidRDefault="00D66488" w:rsidP="00D66488">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is unable to demonstrate ability to use mathematical concepts to understand inductive and deductive reasoning. </w:t>
            </w:r>
          </w:p>
          <w:p w:rsidR="00D66488" w:rsidRDefault="00D66488" w:rsidP="00E56FCE">
            <w:pPr>
              <w:rPr>
                <w:rFonts w:ascii="Times New Roman" w:eastAsia="MS Mincho" w:hAnsi="Times New Roman" w:cs="Times New Roman"/>
                <w:iCs/>
                <w:color w:val="000000"/>
              </w:rPr>
            </w:pPr>
          </w:p>
        </w:tc>
      </w:tr>
      <w:tr w:rsidR="00D66488" w:rsidRPr="00E275CD" w:rsidTr="005673A3">
        <w:tc>
          <w:tcPr>
            <w:tcW w:w="2167" w:type="dxa"/>
          </w:tcPr>
          <w:p w:rsidR="00D66488" w:rsidRDefault="00D66488" w:rsidP="00E56FCE">
            <w:pPr>
              <w:shd w:val="clear" w:color="auto" w:fill="FFFFFF"/>
              <w:ind w:right="360"/>
              <w:textAlignment w:val="baseline"/>
              <w:rPr>
                <w:rFonts w:ascii="Times New Roman" w:hAnsi="Times New Roman" w:cs="Times New Roman"/>
                <w:b/>
              </w:rPr>
            </w:pPr>
            <w:r>
              <w:rPr>
                <w:rFonts w:ascii="Times New Roman" w:hAnsi="Times New Roman" w:cs="Times New Roman"/>
                <w:b/>
              </w:rPr>
              <w:lastRenderedPageBreak/>
              <w:t>(ELO 3)</w:t>
            </w:r>
          </w:p>
          <w:p w:rsidR="00D66488" w:rsidRPr="00D66488" w:rsidRDefault="00D66488" w:rsidP="00D66488">
            <w:pPr>
              <w:rPr>
                <w:rFonts w:asciiTheme="majorBidi" w:hAnsiTheme="majorBidi" w:cstheme="majorBidi"/>
                <w:b/>
                <w:bCs/>
              </w:rPr>
            </w:pPr>
            <w:r w:rsidRPr="00D66488">
              <w:rPr>
                <w:rFonts w:asciiTheme="majorBidi" w:hAnsiTheme="majorBidi" w:cstheme="majorBidi"/>
                <w:b/>
                <w:bCs/>
              </w:rPr>
              <w:t xml:space="preserve">Students comprehend mathematical concepts and methods adequate to increase their general problem solving skills. </w:t>
            </w:r>
          </w:p>
          <w:p w:rsidR="00D66488" w:rsidRPr="00E275CD" w:rsidRDefault="00D66488" w:rsidP="00E56FCE">
            <w:pPr>
              <w:shd w:val="clear" w:color="auto" w:fill="FFFFFF"/>
              <w:ind w:right="360"/>
              <w:textAlignment w:val="baseline"/>
              <w:rPr>
                <w:rFonts w:ascii="Times New Roman" w:hAnsi="Times New Roman" w:cs="Times New Roman"/>
                <w:b/>
              </w:rPr>
            </w:pPr>
          </w:p>
        </w:tc>
        <w:tc>
          <w:tcPr>
            <w:tcW w:w="1813" w:type="dxa"/>
          </w:tcPr>
          <w:p w:rsidR="00D66488" w:rsidRDefault="00D66488" w:rsidP="00D66488">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demonstrates sophistication in their use of mathematical methods in their problem solving skills. </w:t>
            </w:r>
          </w:p>
        </w:tc>
        <w:tc>
          <w:tcPr>
            <w:tcW w:w="1887" w:type="dxa"/>
          </w:tcPr>
          <w:p w:rsidR="00D66488" w:rsidRPr="00E275CD" w:rsidRDefault="00D66488" w:rsidP="00D66488">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demonstrates an increase in their ability to integrate mathematical concepts in their problem solving skills. </w:t>
            </w:r>
          </w:p>
          <w:p w:rsidR="00D66488" w:rsidRDefault="00D66488" w:rsidP="00E56FCE">
            <w:pPr>
              <w:rPr>
                <w:rFonts w:ascii="Times New Roman" w:eastAsia="MS Mincho" w:hAnsi="Times New Roman" w:cs="Times New Roman"/>
                <w:iCs/>
                <w:color w:val="000000"/>
              </w:rPr>
            </w:pPr>
          </w:p>
        </w:tc>
        <w:tc>
          <w:tcPr>
            <w:tcW w:w="1845" w:type="dxa"/>
          </w:tcPr>
          <w:p w:rsidR="00D66488" w:rsidRPr="00E275CD" w:rsidRDefault="00D66488" w:rsidP="00D66488">
            <w:pPr>
              <w:rPr>
                <w:rFonts w:ascii="Times New Roman" w:eastAsia="MS Mincho" w:hAnsi="Times New Roman" w:cs="Times New Roman"/>
                <w:iCs/>
                <w:color w:val="000000"/>
              </w:rPr>
            </w:pPr>
            <w:r>
              <w:rPr>
                <w:rFonts w:ascii="Times New Roman" w:eastAsia="MS Mincho" w:hAnsi="Times New Roman" w:cs="Times New Roman"/>
                <w:iCs/>
                <w:color w:val="000000"/>
              </w:rPr>
              <w:t>Some evidence of student’s increased problem solving skills is demonstrated.</w:t>
            </w:r>
          </w:p>
          <w:p w:rsidR="00D66488" w:rsidRDefault="00D66488" w:rsidP="00E56FCE">
            <w:pPr>
              <w:rPr>
                <w:rFonts w:ascii="Times New Roman" w:eastAsia="MS Mincho" w:hAnsi="Times New Roman" w:cs="Times New Roman"/>
                <w:iCs/>
                <w:color w:val="000000"/>
              </w:rPr>
            </w:pPr>
          </w:p>
        </w:tc>
        <w:tc>
          <w:tcPr>
            <w:tcW w:w="1864" w:type="dxa"/>
          </w:tcPr>
          <w:p w:rsidR="00D66488" w:rsidRDefault="00D66488" w:rsidP="00E56FCE">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is unable to apply basic mathematical concepts and methods to solve problems. </w:t>
            </w:r>
          </w:p>
        </w:tc>
      </w:tr>
    </w:tbl>
    <w:p w:rsidR="0006434D" w:rsidRPr="00E275CD" w:rsidRDefault="0006434D">
      <w:pPr>
        <w:rPr>
          <w:rFonts w:ascii="Times New Roman" w:hAnsi="Times New Roman" w:cs="Times New Roman"/>
        </w:rPr>
      </w:pPr>
    </w:p>
    <w:sectPr w:rsidR="0006434D" w:rsidRPr="00E275CD" w:rsidSect="00064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3EDA"/>
    <w:multiLevelType w:val="hybridMultilevel"/>
    <w:tmpl w:val="42C26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15257"/>
    <w:multiLevelType w:val="hybridMultilevel"/>
    <w:tmpl w:val="42C26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62F5C"/>
    <w:multiLevelType w:val="hybridMultilevel"/>
    <w:tmpl w:val="42C26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833"/>
    <w:rsid w:val="0003699F"/>
    <w:rsid w:val="000562C6"/>
    <w:rsid w:val="0006434D"/>
    <w:rsid w:val="000C4607"/>
    <w:rsid w:val="00195459"/>
    <w:rsid w:val="00406517"/>
    <w:rsid w:val="004B7CAC"/>
    <w:rsid w:val="00AB4833"/>
    <w:rsid w:val="00CF4A8E"/>
    <w:rsid w:val="00D436C9"/>
    <w:rsid w:val="00D66488"/>
    <w:rsid w:val="00DB4277"/>
    <w:rsid w:val="00E275CD"/>
    <w:rsid w:val="00E56FCE"/>
    <w:rsid w:val="00EE10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483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E10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2016-11-14T15:31:00Z</dcterms:created>
  <dcterms:modified xsi:type="dcterms:W3CDTF">2016-11-14T15:31:00Z</dcterms:modified>
</cp:coreProperties>
</file>